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6C" w:rsidRPr="00A04D1F" w:rsidRDefault="0042296C" w:rsidP="0042296C">
      <w:pPr>
        <w:widowControl w:val="0"/>
        <w:suppressAutoHyphens/>
        <w:autoSpaceDE w:val="0"/>
        <w:spacing w:after="0" w:line="240" w:lineRule="auto"/>
        <w:ind w:firstLine="720"/>
        <w:jc w:val="center"/>
        <w:rPr>
          <w:rFonts w:ascii="Arial CYR" w:eastAsia="Arial CYR" w:hAnsi="Arial CYR" w:cs="Arial CYR"/>
          <w:color w:val="000000"/>
          <w:kern w:val="1"/>
          <w:sz w:val="24"/>
          <w:szCs w:val="24"/>
          <w:lang w:eastAsia="hi-IN" w:bidi="hi-IN"/>
        </w:rPr>
      </w:pPr>
    </w:p>
    <w:p w:rsidR="0042296C" w:rsidRPr="00841EB3" w:rsidRDefault="0042296C" w:rsidP="0042296C">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sidRPr="009B65F2">
        <w:rPr>
          <w:rFonts w:ascii="Arial" w:hAnsi="Arial" w:cs="Arial"/>
          <w:b/>
          <w:color w:val="000000"/>
          <w:sz w:val="24"/>
          <w:szCs w:val="24"/>
          <w:lang w:val="en-US"/>
        </w:rPr>
        <w:t>I</w:t>
      </w:r>
      <w:r>
        <w:rPr>
          <w:rFonts w:ascii="Arial" w:hAnsi="Arial" w:cs="Arial"/>
          <w:b/>
          <w:color w:val="000000"/>
          <w:sz w:val="24"/>
          <w:szCs w:val="24"/>
        </w:rPr>
        <w:t>-</w:t>
      </w:r>
      <w:r w:rsidRPr="00841EB3">
        <w:rPr>
          <w:rFonts w:ascii="Arial" w:eastAsiaTheme="minorEastAsia" w:hAnsi="Arial" w:cs="Arial"/>
          <w:b/>
          <w:sz w:val="24"/>
          <w:szCs w:val="24"/>
          <w:lang w:eastAsia="mk-MK"/>
        </w:rPr>
        <w:t>УЖ</w:t>
      </w:r>
      <w:r>
        <w:rPr>
          <w:rFonts w:ascii="Arial" w:eastAsiaTheme="minorEastAsia" w:hAnsi="Arial" w:cs="Arial"/>
          <w:b/>
          <w:sz w:val="24"/>
          <w:szCs w:val="24"/>
          <w:lang w:eastAsia="mk-MK"/>
        </w:rPr>
        <w:t>-3</w:t>
      </w:r>
      <w:r w:rsidRPr="00841EB3">
        <w:rPr>
          <w:rFonts w:ascii="Arial" w:eastAsiaTheme="minorEastAsia" w:hAnsi="Arial" w:cs="Arial"/>
          <w:b/>
          <w:sz w:val="24"/>
          <w:szCs w:val="24"/>
          <w:lang w:eastAsia="mk-MK"/>
        </w:rPr>
        <w:t>.</w:t>
      </w:r>
      <w:r>
        <w:rPr>
          <w:rFonts w:ascii="Arial" w:eastAsiaTheme="minorEastAsia" w:hAnsi="Arial" w:cs="Arial"/>
          <w:b/>
          <w:sz w:val="24"/>
          <w:szCs w:val="24"/>
          <w:lang w:eastAsia="mk-MK"/>
        </w:rPr>
        <w:t>бр</w:t>
      </w:r>
      <w:r w:rsidRPr="00841EB3">
        <w:rPr>
          <w:rFonts w:ascii="Arial" w:eastAsiaTheme="minorEastAsia" w:hAnsi="Arial" w:cs="Arial"/>
          <w:b/>
          <w:sz w:val="24"/>
          <w:szCs w:val="24"/>
          <w:lang w:eastAsia="mk-MK"/>
        </w:rPr>
        <w:t>.3</w:t>
      </w:r>
      <w:r>
        <w:rPr>
          <w:rFonts w:ascii="Arial" w:eastAsiaTheme="minorEastAsia" w:hAnsi="Arial" w:cs="Arial"/>
          <w:b/>
          <w:sz w:val="24"/>
          <w:szCs w:val="24"/>
          <w:lang w:eastAsia="mk-MK"/>
        </w:rPr>
        <w:t>75</w:t>
      </w:r>
      <w:r w:rsidRPr="00841EB3">
        <w:rPr>
          <w:rFonts w:ascii="Arial" w:eastAsiaTheme="minorEastAsia" w:hAnsi="Arial" w:cs="Arial"/>
          <w:b/>
          <w:sz w:val="24"/>
          <w:szCs w:val="24"/>
          <w:lang w:eastAsia="mk-MK"/>
        </w:rPr>
        <w:t>/1</w:t>
      </w:r>
      <w:r>
        <w:rPr>
          <w:rFonts w:ascii="Arial" w:eastAsiaTheme="minorEastAsia" w:hAnsi="Arial" w:cs="Arial"/>
          <w:b/>
          <w:sz w:val="24"/>
          <w:szCs w:val="24"/>
          <w:lang w:eastAsia="mk-MK"/>
        </w:rPr>
        <w:t>6</w:t>
      </w:r>
    </w:p>
    <w:p w:rsidR="0042296C" w:rsidRPr="003209AA" w:rsidRDefault="0042296C" w:rsidP="0042296C">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Pr="003209AA">
        <w:rPr>
          <w:rFonts w:ascii="Arial" w:eastAsia="Times New Roman" w:hAnsi="Arial" w:cs="Arial"/>
          <w:sz w:val="24"/>
          <w:szCs w:val="24"/>
          <w:lang w:eastAsia="ar-SA"/>
        </w:rPr>
        <w:t>Претседател на совет судија Виолета Илиевска</w:t>
      </w:r>
    </w:p>
    <w:p w:rsidR="0042296C" w:rsidRPr="003209AA" w:rsidRDefault="0042296C" w:rsidP="0042296C">
      <w:pPr>
        <w:suppressAutoHyphens/>
        <w:spacing w:after="0" w:line="240" w:lineRule="auto"/>
        <w:jc w:val="both"/>
        <w:rPr>
          <w:rFonts w:ascii="Arial" w:eastAsia="Times New Roman" w:hAnsi="Arial" w:cs="Arial"/>
          <w:sz w:val="24"/>
          <w:szCs w:val="24"/>
          <w:lang w:eastAsia="ar-SA"/>
        </w:rPr>
      </w:pP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 xml:space="preserve">Управата за јавни приходи согласно член 51 став 1, 6 и 10 од Законот за данок на додадена вредност (Службен весник на Република Македонија бр.44/99...23/16) правилно извршила службена регистрација на данокот на додадена вредност. Со решението за службена регистрација Управата за јавни приходи Регионална дирекција Скопје се утврдува: даночниот обврзник, даночниот број, периодот на поднесување на даночната пријава, првиот даночен период, датумот за регистрацијата на данокот на додадена вредност и од кога се пресметува. Со решението за регистрација не се утврдува данок, ниту пак се дава  налог за плаќање, туку се врши само службена регистрација на данокот на додадена вредност за периодот од 01.01.2015.  </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42296C" w:rsidRPr="00FC5820" w:rsidRDefault="0042296C" w:rsidP="0042296C">
      <w:pPr>
        <w:spacing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Управниот суд со Пресуда тужбата на </w:t>
      </w:r>
      <w:proofErr w:type="spellStart"/>
      <w:r w:rsidRPr="00FC5820">
        <w:rPr>
          <w:rFonts w:ascii="Arial" w:eastAsiaTheme="minorEastAsia" w:hAnsi="Arial" w:cs="Arial"/>
          <w:color w:val="000000"/>
          <w:sz w:val="24"/>
          <w:szCs w:val="24"/>
          <w:lang w:eastAsia="mk-MK"/>
        </w:rPr>
        <w:t>тужителoт</w:t>
      </w:r>
      <w:proofErr w:type="spellEnd"/>
      <w:r w:rsidRPr="00FC5820">
        <w:rPr>
          <w:rFonts w:ascii="Arial" w:eastAsiaTheme="minorEastAsia" w:hAnsi="Arial" w:cs="Arial"/>
          <w:color w:val="000000"/>
          <w:sz w:val="24"/>
          <w:szCs w:val="24"/>
          <w:lang w:eastAsia="mk-MK"/>
        </w:rPr>
        <w:t xml:space="preserve">  ја уважил и Решението на Министерство за финансии Управа за јавни приходи Регионална дирекција Скопје </w:t>
      </w:r>
      <w:r w:rsidRPr="00FC5820">
        <w:rPr>
          <w:rFonts w:ascii="Arial" w:eastAsiaTheme="minorEastAsia" w:hAnsi="Arial" w:cs="Arial"/>
          <w:sz w:val="24"/>
          <w:szCs w:val="24"/>
          <w:shd w:val="clear" w:color="auto" w:fill="FFFFFF"/>
          <w:lang w:eastAsia="mk-MK"/>
        </w:rPr>
        <w:t xml:space="preserve">број.26-163/00524 од 17.02.2016 година </w:t>
      </w:r>
      <w:r w:rsidRPr="00FC5820">
        <w:rPr>
          <w:rFonts w:ascii="Arial" w:eastAsiaTheme="minorEastAsia" w:hAnsi="Arial" w:cs="Arial"/>
          <w:color w:val="000000"/>
          <w:sz w:val="24"/>
          <w:szCs w:val="24"/>
          <w:lang w:eastAsia="mk-MK"/>
        </w:rPr>
        <w:t xml:space="preserve">го поништил. </w:t>
      </w:r>
    </w:p>
    <w:p w:rsidR="0042296C" w:rsidRPr="00FC5820" w:rsidRDefault="0042296C" w:rsidP="0042296C">
      <w:pPr>
        <w:spacing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Против пресудата на Управниот суд жалба изјави тужениот орган преку Државниот правобранител на Република Македонија за подрачје Скопје поради суштествена повреда на одредбите од постапката, погрешно и нецелосно утврдена фактичка состојба и погрешна примена на материјалното право, со предлог жалбата да се уважи, пресудата да се укине и предметот врати на повторно одлучување или да се преиначи на начин што тужбата на тужителот ќе биде одбиена како неоснована и оспореното решение потврдено.</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 xml:space="preserve">Вишиот управен суд, по проучување на списите на предметот, наводите во жалбата, испитувајќи ја побиваната пресуда во смисла на член 354 став 1 од Законот за </w:t>
      </w:r>
      <w:proofErr w:type="spellStart"/>
      <w:r w:rsidRPr="00FC5820">
        <w:rPr>
          <w:rFonts w:ascii="Arial" w:eastAsiaTheme="minorEastAsia" w:hAnsi="Arial" w:cs="Arial"/>
          <w:color w:val="000000"/>
          <w:sz w:val="24"/>
          <w:szCs w:val="24"/>
          <w:lang w:eastAsia="mk-MK"/>
        </w:rPr>
        <w:t>парничната</w:t>
      </w:r>
      <w:proofErr w:type="spellEnd"/>
      <w:r w:rsidRPr="00FC5820">
        <w:rPr>
          <w:rFonts w:ascii="Arial" w:eastAsiaTheme="minorEastAsia" w:hAnsi="Arial" w:cs="Arial"/>
          <w:color w:val="000000"/>
          <w:sz w:val="24"/>
          <w:szCs w:val="24"/>
          <w:lang w:eastAsia="mk-MK"/>
        </w:rPr>
        <w:t xml:space="preserve"> постапка најде:</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Жалбата е основана.</w:t>
      </w:r>
    </w:p>
    <w:p w:rsidR="0042296C" w:rsidRPr="00FC5820" w:rsidRDefault="0042296C" w:rsidP="0042296C">
      <w:pPr>
        <w:widowControl w:val="0"/>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Од списите во предметот произлегува врз основа на податоците со кои располага Управата за јавни приходи - Регионална дирекција Скопје, а врз основа на поднесените годишни извештаи на </w:t>
      </w:r>
      <w:proofErr w:type="spellStart"/>
      <w:r w:rsidRPr="00FC5820">
        <w:rPr>
          <w:rFonts w:ascii="Arial" w:eastAsiaTheme="minorEastAsia" w:hAnsi="Arial" w:cs="Arial"/>
          <w:color w:val="000000"/>
          <w:sz w:val="24"/>
          <w:szCs w:val="24"/>
          <w:lang w:eastAsia="mk-MK"/>
        </w:rPr>
        <w:t>исплатувачите</w:t>
      </w:r>
      <w:proofErr w:type="spellEnd"/>
      <w:r w:rsidRPr="00FC5820">
        <w:rPr>
          <w:rFonts w:ascii="Arial" w:eastAsiaTheme="minorEastAsia" w:hAnsi="Arial" w:cs="Arial"/>
          <w:color w:val="000000"/>
          <w:sz w:val="24"/>
          <w:szCs w:val="24"/>
          <w:lang w:eastAsia="mk-MK"/>
        </w:rPr>
        <w:t xml:space="preserve"> на бруто остварените приходи (Образец ПДД-ГИ) за 2014 година било утврдено дека даночниот обврзник за 2014 година извршил промет на услуги по основ на издавање под закуп на имот кој го надминува износот од 1.000.000,00 денари и истиот бил должен да поднесе Пријава за регистрација за данок на додадена вредност (Образец ДДВ-01) од 01.01. до 15.01.2015 година во Управата за јавни приходи, заради упис во регистарот на обврзници на данокот на додадена вредност. Органот утврдил даночниот обврзник не поднел пријава ДДВ-01, па согласно член </w:t>
      </w:r>
      <w:r w:rsidRPr="00FC5820">
        <w:rPr>
          <w:rFonts w:ascii="Arial" w:eastAsiaTheme="minorEastAsia" w:hAnsi="Arial" w:cs="Arial"/>
          <w:color w:val="000000"/>
          <w:sz w:val="24"/>
          <w:szCs w:val="24"/>
          <w:lang w:eastAsia="mk-MK"/>
        </w:rPr>
        <w:lastRenderedPageBreak/>
        <w:t>51 став 1, 6 и 10 од Законот за данок на додадена вредност донел Решение Број.26-163/00524 од 17.02.2016 година за службена регистрација за данок на додадена вредност.</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Незадоволен од ова решение даночниот обврзник повел управен спор пред Управниот суд оспорувајќи ја законитоста на Решението на Управата за јавни приходи - Регионална дирекција Скопје. Судот одлучувајќи по тужбата донел Пресуда со која тужбата на тужителот ја уважил и го поништил оспореното решение.</w:t>
      </w: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Согласно член 8 став 1 од Закон за управните спорови („Службен весник на Република Македонија“ број 62/06 и 150/10) управен спор може да се води против конечен управен акт донесен во втор степен (конечен управен акт). Според став 2 од истиот член управен спор може да се поведе и против првостепен управен акт кога не е предвидена правна заштита во управна постапка во втор степен.</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51 став 1 од Законот за данокот на додадена вредност („Службен весник на Република Македонија“ број 44/99, 86/99, 8/01, 21/03, 19/04, 33/06, 101/06, 114/07, 103/08, 114/09, 133/09, 95/10, 102/10, 24/11, 135/11, 155/12, 12/14, 112/14, 130/14, 15/15, 129/15 и 23/16) сите даночни обврзници, чиј вкупен промет во изминатата календарска година надминал износ од 1.000.000 денари или чиј вкупен промет се предвидува на почетокот од вршењето на стопанската дејност дека ќе го надмине износот или во текот на годината го надмине износот обврзани се за регистрација за данокот на додадена вредност. Обврската за регистрација за данокот на додадена вредност не се однесува за даночни обврзници во смисла на член 32 точка 4 и член 46 на овој закон. Согласно став 6 од истиот член надлежниот даночен орган го врши уписот во регистарот на обврзници на данокот на додадена вредност од почетокот на тековната календарска година и притоа им издава на даночните обврзници решение. Ако даночниот обврзник започнал да ја врши својата дејност во текот на календарската година, регистрацијата се врши со започнувањето на вршењето на дејноста. Под </w:t>
      </w:r>
      <w:proofErr w:type="spellStart"/>
      <w:r w:rsidRPr="00FC5820">
        <w:rPr>
          <w:rFonts w:ascii="Arial" w:eastAsiaTheme="minorEastAsia" w:hAnsi="Arial" w:cs="Arial"/>
          <w:color w:val="000000"/>
          <w:sz w:val="24"/>
          <w:szCs w:val="24"/>
          <w:lang w:eastAsia="mk-MK"/>
        </w:rPr>
        <w:t>започнувањена</w:t>
      </w:r>
      <w:proofErr w:type="spellEnd"/>
      <w:r w:rsidRPr="00FC5820">
        <w:rPr>
          <w:rFonts w:ascii="Arial" w:eastAsiaTheme="minorEastAsia" w:hAnsi="Arial" w:cs="Arial"/>
          <w:color w:val="000000"/>
          <w:sz w:val="24"/>
          <w:szCs w:val="24"/>
          <w:lang w:eastAsia="mk-MK"/>
        </w:rPr>
        <w:t xml:space="preserve"> вршење на дејноста се подразбира првото вршење на активност на даночниот обврзник како прва извршена набавка на добра (основни средства, трговска стока и друго) користена услуга (закуп, истражување на пазар и друго) и извршен промет на добра или услуга. Ако во текот на годината даночниот обврзник го надмине износот на остварен вкупен промет од 1.000.000 денари, регистрацијата се врши по истекот на месецот кога е остварен прометот. Согласно став 10 од истиот член даночните обврзници во смисла на став 1, првата реченица и на став 4 од овој член ја поднесуваат пријавата најдоцна до 15 јануари во тековната година. Ако даночниот обврзник започнал со вршењето на својата дејност во текот на календарската година, пријавата се поднесува во рок од 15 дена од почетокот од вршењето на дејноста. Ако во текот на годината се надмине износот на остварен вкупен промет од 1.000.000 денари, даночниот обврзник ја поднесува пријавата најдоцна до 15 во месецот кој следи по месецот кога е остварен прометот.</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lastRenderedPageBreak/>
        <w:tab/>
        <w:t>Согласно член 7 став 1 од Законот за даночната постапка („Службен весник на Република Македонија“ број 13/06, 13/06, 88/08, 159/08, 105/09, 133/09, 145/10, 171/10, 53/11, 84/12, 187/13, 15/15, 97/15 и 129/15), даночната обврска се утврдува врз основа на законите кои биле во сила во време на нејзиното настанување, освен ако, во согласност со закон, за одделни одредби кои се однесуваат на даночна обврска е пропишано да имаат повратно дејство. Според став 2 од истиот член дејствијата во даночната постапка се регулирани со прописите кои се на сила во времето кога се преземаат.</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Вишиот управен суд наоѓа дека неправилно заклучил Управниот суд кога прифатил дека при одлучувањето тужениот орган погрешно го применил членот 10 од Законот за изменување и дополнување на Законот за данокот на додадена вредност („Службен весник на Република Македонија“ бр.130 од 03.09.2014 година), каде во членот 51 во ставот (1), (6) и (10) износот „2.000.000,, се заменува со износот „1.000.000,00 , односно времето кога ова одредба ќе се применува.</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Правилно тужениот орган службено го регистрирал тужителот за данокот на додадена вредност во регистарот на обврзници на данокот на додадена вредност од почетокот на тековната календарска година - 01.01.2015 година, наоѓајќи дека остварил вкупен промет во изминатата календарска година - 2014 година над 1.000.000 денари. </w:t>
      </w: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2296C" w:rsidRPr="00FC5820" w:rsidRDefault="0042296C" w:rsidP="0042296C">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r>
        <w:rPr>
          <w:rFonts w:ascii="Arial" w:eastAsiaTheme="minorEastAsia" w:hAnsi="Arial" w:cs="Arial"/>
          <w:color w:val="000000"/>
          <w:sz w:val="24"/>
          <w:szCs w:val="24"/>
          <w:lang w:eastAsia="mk-MK"/>
        </w:rPr>
        <w:t>В</w:t>
      </w:r>
      <w:r w:rsidRPr="00FC5820">
        <w:rPr>
          <w:rFonts w:ascii="Arial" w:eastAsiaTheme="minorEastAsia" w:hAnsi="Arial" w:cs="Arial"/>
          <w:color w:val="000000"/>
          <w:sz w:val="24"/>
          <w:szCs w:val="24"/>
          <w:lang w:eastAsia="mk-MK"/>
        </w:rPr>
        <w:t xml:space="preserve">рз основа на поднесените годишни извештаи на </w:t>
      </w:r>
      <w:proofErr w:type="spellStart"/>
      <w:r w:rsidRPr="00FC5820">
        <w:rPr>
          <w:rFonts w:ascii="Arial" w:eastAsiaTheme="minorEastAsia" w:hAnsi="Arial" w:cs="Arial"/>
          <w:color w:val="000000"/>
          <w:sz w:val="24"/>
          <w:szCs w:val="24"/>
          <w:lang w:eastAsia="mk-MK"/>
        </w:rPr>
        <w:t>исплатувачите</w:t>
      </w:r>
      <w:proofErr w:type="spellEnd"/>
      <w:r w:rsidRPr="00FC5820">
        <w:rPr>
          <w:rFonts w:ascii="Arial" w:eastAsiaTheme="minorEastAsia" w:hAnsi="Arial" w:cs="Arial"/>
          <w:color w:val="000000"/>
          <w:sz w:val="24"/>
          <w:szCs w:val="24"/>
          <w:lang w:eastAsia="mk-MK"/>
        </w:rPr>
        <w:t xml:space="preserve"> на бруто остварените приходи за 2014 година</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извршил промет на услуги по основ на издавање под закуп на имот кој го надминува износот од 1.000.000,00 денари и бил должен да поднесе Пријава за регистрација на данок на додадена вредност образец ДДВ-01 од 01.01.2015 до 15.01.2015 година во Управа за јавни приходи заради упис во регистарот на обврзници на данокот на додадена вредност. Правилно тужениот орган утврдил дека тужителот не поднел Пријава за регистрација на данок на додадена вредност образец ДДВ-01 поради што и го донел оспореното решение за службена регистрација на данокот на додадена вредност. Во конкретниот случај</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се работи за даночен период од календарската 2015 година за кој период е регистриран тужителот во регистарот на обврзници по основ данок  на додадена вредност, односно е регистриран за целите на данок на додадена вредност од 01.01.2015 година, а за прв даночен период му е определен периодот од 01.01.2015 до 31.03.2015 година. </w:t>
      </w:r>
    </w:p>
    <w:p w:rsidR="0042296C" w:rsidRDefault="0042296C" w:rsidP="0042296C">
      <w:pPr>
        <w:widowControl w:val="0"/>
        <w:autoSpaceDE w:val="0"/>
        <w:autoSpaceDN w:val="0"/>
        <w:adjustRightInd w:val="0"/>
        <w:spacing w:after="0" w:line="240" w:lineRule="auto"/>
        <w:jc w:val="both"/>
        <w:rPr>
          <w:rFonts w:ascii="Arial" w:hAnsi="Arial" w:cs="Arial"/>
          <w:b/>
          <w:sz w:val="24"/>
          <w:szCs w:val="24"/>
        </w:rPr>
      </w:pPr>
      <w:r w:rsidRPr="00FC5820">
        <w:rPr>
          <w:rFonts w:ascii="Arial" w:eastAsiaTheme="minorEastAsia" w:hAnsi="Arial" w:cs="Arial"/>
          <w:color w:val="000000"/>
          <w:sz w:val="24"/>
          <w:szCs w:val="24"/>
          <w:lang w:eastAsia="mk-MK"/>
        </w:rPr>
        <w:tab/>
      </w:r>
    </w:p>
    <w:p w:rsidR="004B114F" w:rsidRDefault="004B114F"/>
    <w:sectPr w:rsidR="004B114F" w:rsidSect="004B1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CYR">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96C"/>
    <w:rsid w:val="00041583"/>
    <w:rsid w:val="000E6A69"/>
    <w:rsid w:val="001D761D"/>
    <w:rsid w:val="00332952"/>
    <w:rsid w:val="00376D35"/>
    <w:rsid w:val="003874BE"/>
    <w:rsid w:val="003B7D93"/>
    <w:rsid w:val="004204A6"/>
    <w:rsid w:val="0042296C"/>
    <w:rsid w:val="00452FA2"/>
    <w:rsid w:val="004B114F"/>
    <w:rsid w:val="006C7380"/>
    <w:rsid w:val="00764534"/>
    <w:rsid w:val="00793C5C"/>
    <w:rsid w:val="007A218E"/>
    <w:rsid w:val="007E405E"/>
    <w:rsid w:val="00924EFC"/>
    <w:rsid w:val="009F2CCF"/>
    <w:rsid w:val="00AB579F"/>
    <w:rsid w:val="00BA739E"/>
    <w:rsid w:val="00CC11CA"/>
    <w:rsid w:val="00EA14A1"/>
    <w:rsid w:val="00EE47EB"/>
    <w:rsid w:val="00F45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6C"/>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6658</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2016-10-14T11:45:00Z</dcterms:created>
  <dcterms:modified xsi:type="dcterms:W3CDTF">2016-10-14T11:46:00Z</dcterms:modified>
</cp:coreProperties>
</file>